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tabs>
          <w:tab w:val="left" w:pos="60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tabs>
          <w:tab w:val="left" w:pos="60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政协第五届宿州市委员会常务委员会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二十一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次会议日程</w:t>
      </w:r>
    </w:p>
    <w:p>
      <w:pPr>
        <w:spacing w:line="52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日宿州市政协五届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四十三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次主席会议通过）</w:t>
      </w:r>
    </w:p>
    <w:tbl>
      <w:tblPr>
        <w:tblStyle w:val="2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501"/>
        <w:gridCol w:w="176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 xml:space="preserve">内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 xml:space="preserve"> 容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地  点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月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 xml:space="preserve">22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︵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星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期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二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︶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午</w:t>
            </w: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14:30 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/>
              </w:rPr>
              <w:t>审议通过市政协五届二十一次常委会会议议程；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/>
              </w:rPr>
              <w:t>举行党史学习教育专题辅导讲座。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会议厅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  <w:t>王广敏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 xml:space="preserve"> 分组会议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审议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  <w:t>《中国人民政治协商会议宿州市委员会专门委员会通则（修订草案）》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  <w:t>审议有关人事事项；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  <w:t>填写《市政协常委20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  <w:t>年度履职情况表》。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分组会议室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听取各小组审议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讨论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情况的汇报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第一会议室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马红钟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 xml:space="preserve"> 第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次全体会议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  <w:lang w:eastAsia="zh-CN"/>
              </w:rPr>
              <w:t>通过《中国人民政治协商会议宿州市委员会专门委员会通则》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通过有关人事事项；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  <w:t>市政协副主席马红钟讲话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会议厅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24207"/>
    <w:multiLevelType w:val="singleLevel"/>
    <w:tmpl w:val="B85242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3253C3"/>
    <w:multiLevelType w:val="singleLevel"/>
    <w:tmpl w:val="BA3253C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8F03716"/>
    <w:multiLevelType w:val="singleLevel"/>
    <w:tmpl w:val="E8F0371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7576"/>
    <w:rsid w:val="44B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2021-06-18T09:52:00Z</dcterms:created>
  <dc:creator>hp</dc:creator>
  <cp:lastModifiedBy>hp</cp:lastModifiedBy>
  <dcterms:modified xsi:type="dcterms:W3CDTF">2021-06-18T09:52:33Z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